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26-238</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subrule 78.24(4)</w:t>
      </w:r>
    </w:p>
    <w:p>
      <w:pPr>
        <w:spacing w:before="0" w:after="0" w:line="480"/>
        <w:ind w:left="120"/>
        <w:jc w:val="center"/>
      </w:pPr>
      <w:r>
        <w:rPr>
          <w:rFonts w:ascii="Times New Roman" w:hAnsi="Times New Roman"/>
          <w:b w:val="false"/>
          <w:i w:val="false"/>
          <w:color w:val="000000"/>
          <w:sz w:val="24"/>
        </w:rPr>
        <w:t>“Amount, Duration and Scope of Medical and Remedial Services”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249A</w:t>
      </w:r>
    </w:p>
    <w:p>
      <w:pPr>
        <w:spacing w:before="0" w:after="0" w:line="480"/>
        <w:ind w:left="120"/>
        <w:jc w:val="both"/>
      </w:pPr>
      <w:r>
        <w:rPr>
          <w:rFonts w:ascii="Times New Roman" w:hAnsi="Times New Roman"/>
          <w:b w:val="false"/>
          <w:i w:val="false"/>
          <w:color w:val="000000"/>
          <w:sz w:val="24"/>
        </w:rPr>
        <w:t>State or federal law(s) implemented by the rulemaking: Iowa Code chapter 249A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245 818 881 867 66</w:t>
            </w:r>
            <w:r>
              <w:br/>
            </w:r>
            <w:r>
              <w:rPr>
                <w:rFonts w:ascii="Times New Roman" w:hAnsi="Times New Roman"/>
                <w:b w:val="false"/>
                <w:i w:val="false"/>
                <w:color w:val="000000"/>
                <w:sz w:val="14"/>
              </w:rPr>
              <w:t xml:space="preserve">Passcode: ya9va9uv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allows rural health clinics (RHCs) to receive Medicaid reimbursement for the provision of dental services. The services would be provided by local dentists who contract with the RHCs.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Medicaid recipients residing in rural areas may benefit from increased access to dental services.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Iowa has 282 RHCs. Another state’s Medicaid program saw 2.94 percent of its RHCs opt in to providing dental services under a similar program.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Medicaid recipients residing in rural areas may benefit from increased access to dental services.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administering the Medicaid program.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Based upon a 2.94 percent RHC opt-in estimate, there would be a total cost increase of  $3,934,581.43, with $2,736,894.84 being federal and $1,197,686.59 being State.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Revising the existing rules is the appropriate way to accomplish the desired outcome.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Revising the existing rules is the appropriate way to accomplish the desired outcome.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may positively impact small dental providers by enabling them to receive reimbursement for services provided at RHCs.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78.21(4)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78.21(4)</w:t>
      </w:r>
      <w:r>
        <w:rPr>
          <w:rFonts w:ascii="Times New Roman" w:hAnsi="Times New Roman"/>
          <w:b w:val="false"/>
          <w:i w:val="false"/>
          <w:color w:val="000000"/>
          <w:sz w:val="24"/>
        </w:rPr>
        <w:t> </w:t>
      </w:r>
      <w:r>
        <w:rPr>
          <w:rFonts w:ascii="Times New Roman" w:hAnsi="Times New Roman"/>
          <w:b w:val="false"/>
          <w:i/>
          <w:color w:val="000000"/>
          <w:sz w:val="24"/>
        </w:rPr>
        <w:t xml:space="preserve">Dental services. </w:t>
      </w:r>
      <w:r>
        <w:rPr>
          <w:rFonts w:ascii="Times New Roman" w:hAnsi="Times New Roman"/>
          <w:b w:val="false"/>
          <w:i w:val="false"/>
          <w:color w:val="000000"/>
          <w:sz w:val="24"/>
        </w:rPr>
        <w:t xml:space="preserve">Payment will be made to rural health clinics for dental services payable under Iowa Medicaid’s dental wellness plan as described in </w:t>
      </w:r>
      <w:hyperlink r:id="rId5">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ac/chapter/441.7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